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F4" w:rsidRDefault="00263AF4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CC5301">
        <w:rPr>
          <w:rFonts w:ascii="Palatino Linotype" w:hAnsi="Palatino Linotype"/>
          <w:b/>
          <w:sz w:val="24"/>
          <w:szCs w:val="24"/>
        </w:rPr>
        <w:t xml:space="preserve">VOTO PARTICULAR QUE FORMULA LA COMISIONADA PRESIDENTA ZULEMA MARTÍNEZ SÁNCHEZ, EN RELACIÓN CON LA RESOLUCIÓN DICTADA POR EL PLENO DEL INSTITUTO DE TRANSPARENCIA, ACCESO A LA INFORMACIÓN PÚBLICA Y PROTECCIÓN </w:t>
      </w:r>
      <w:r w:rsidR="009C4B88">
        <w:rPr>
          <w:rFonts w:ascii="Palatino Linotype" w:hAnsi="Palatino Linotype"/>
          <w:b/>
          <w:sz w:val="24"/>
          <w:szCs w:val="24"/>
        </w:rPr>
        <w:t xml:space="preserve"> </w:t>
      </w:r>
      <w:r w:rsidRPr="00CC5301">
        <w:rPr>
          <w:rFonts w:ascii="Palatino Linotype" w:hAnsi="Palatino Linotype"/>
          <w:b/>
          <w:sz w:val="24"/>
          <w:szCs w:val="24"/>
        </w:rPr>
        <w:t xml:space="preserve">DE DATOS PERSONALES DEL ESTADO DE MÉXICO Y MUNICIPIOS, EN LA </w:t>
      </w:r>
      <w:r>
        <w:rPr>
          <w:rFonts w:ascii="Palatino Linotype" w:hAnsi="Palatino Linotype"/>
          <w:b/>
          <w:sz w:val="24"/>
          <w:szCs w:val="24"/>
        </w:rPr>
        <w:t>CUADRAGÉSIMA QUINTA SESIÓN ORDINARIA DEL SEIS DE DICIEMBRE DE DOS MIL DIECIOCHO, EN EL RECURSO DE REVISIÓN 03707/INFOEM/IP/RR/2018.</w:t>
      </w:r>
    </w:p>
    <w:p w:rsidR="00AC0505" w:rsidRPr="00563D0F" w:rsidRDefault="00AC0505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263AF4" w:rsidRPr="00263AF4" w:rsidRDefault="00AC0505" w:rsidP="00AC0505">
      <w:pPr>
        <w:spacing w:after="0" w:line="360" w:lineRule="auto"/>
        <w:jc w:val="both"/>
        <w:rPr>
          <w:rFonts w:ascii="Palatino Linotype" w:hAnsi="Palatino Linotype"/>
        </w:rPr>
      </w:pPr>
      <w:r w:rsidRPr="00CC5301">
        <w:rPr>
          <w:rFonts w:ascii="Palatino Linotype" w:hAnsi="Palatino Linotype"/>
        </w:rPr>
        <w:t xml:space="preserve">Con fundamento en lo dispuesto por el artículo 14 fracción XI del Reglamento Interior del Instituto de Transparencia, Acceso a la Información Pública y Protección de Datos Personales del Estado de México y Municipios, </w:t>
      </w:r>
      <w:r w:rsidR="00A56FBB" w:rsidRPr="00CC5301">
        <w:rPr>
          <w:rFonts w:ascii="Palatino Linotype" w:hAnsi="Palatino Linotype"/>
        </w:rPr>
        <w:t xml:space="preserve">la Comisionada </w:t>
      </w:r>
      <w:r w:rsidR="0069147F" w:rsidRPr="00CC5301">
        <w:rPr>
          <w:rFonts w:ascii="Palatino Linotype" w:hAnsi="Palatino Linotype"/>
        </w:rPr>
        <w:t xml:space="preserve">Presidenta </w:t>
      </w:r>
      <w:r w:rsidR="00A56FBB" w:rsidRPr="00CC5301">
        <w:rPr>
          <w:rFonts w:ascii="Palatino Linotype" w:hAnsi="Palatino Linotype"/>
        </w:rPr>
        <w:t xml:space="preserve">Zulema Martínez Sánchez emite </w:t>
      </w:r>
      <w:r w:rsidR="00A56FBB" w:rsidRPr="00CC5301">
        <w:rPr>
          <w:rFonts w:ascii="Palatino Linotype" w:hAnsi="Palatino Linotype"/>
          <w:b/>
        </w:rPr>
        <w:t>VOTO PARTICULAR</w:t>
      </w:r>
      <w:r w:rsidR="00A56FBB" w:rsidRPr="00CC5301">
        <w:rPr>
          <w:rFonts w:ascii="Palatino Linotype" w:hAnsi="Palatino Linotype"/>
        </w:rPr>
        <w:t xml:space="preserve"> respect</w:t>
      </w:r>
      <w:r w:rsidR="00263AF4">
        <w:rPr>
          <w:rFonts w:ascii="Palatino Linotype" w:hAnsi="Palatino Linotype"/>
        </w:rPr>
        <w:t xml:space="preserve">o de la resolución dictada en el recurso de revisión </w:t>
      </w:r>
      <w:r w:rsidR="00263AF4">
        <w:rPr>
          <w:rFonts w:ascii="Palatino Linotype" w:hAnsi="Palatino Linotype"/>
          <w:b/>
        </w:rPr>
        <w:t xml:space="preserve">03707/INFOEM/IP/RR/2018, </w:t>
      </w:r>
      <w:r w:rsidR="00263AF4">
        <w:rPr>
          <w:rFonts w:ascii="Palatino Linotype" w:hAnsi="Palatino Linotype"/>
        </w:rPr>
        <w:t>pronunciada por el Pleno de este Instituto ante el proyecto presentado por la Comisionada Eva Abaid Yapur, que es del tenor siguiente:</w:t>
      </w:r>
    </w:p>
    <w:p w:rsidR="00263AF4" w:rsidRDefault="00263AF4" w:rsidP="00AC0505">
      <w:pPr>
        <w:spacing w:after="0" w:line="360" w:lineRule="auto"/>
        <w:jc w:val="both"/>
        <w:rPr>
          <w:rFonts w:ascii="Palatino Linotype" w:hAnsi="Palatino Linotype"/>
        </w:rPr>
      </w:pPr>
    </w:p>
    <w:p w:rsidR="000B6A84" w:rsidRPr="00CC5301" w:rsidRDefault="00A56FBB" w:rsidP="00AC0505">
      <w:pPr>
        <w:spacing w:after="0" w:line="360" w:lineRule="auto"/>
        <w:jc w:val="both"/>
        <w:rPr>
          <w:rFonts w:ascii="Palatino Linotype" w:hAnsi="Palatino Linotype"/>
        </w:rPr>
      </w:pPr>
      <w:r w:rsidRPr="00CC5301">
        <w:rPr>
          <w:rFonts w:ascii="Palatino Linotype" w:hAnsi="Palatino Linotype"/>
        </w:rPr>
        <w:t>En primer término</w:t>
      </w:r>
      <w:r w:rsidR="000B6A84" w:rsidRPr="00CC5301">
        <w:rPr>
          <w:rFonts w:ascii="Palatino Linotype" w:hAnsi="Palatino Linotype"/>
        </w:rPr>
        <w:t xml:space="preserve"> debemos referir que </w:t>
      </w:r>
      <w:r w:rsidR="00FA30C9" w:rsidRPr="00CC5301">
        <w:rPr>
          <w:rFonts w:ascii="Palatino Linotype" w:hAnsi="Palatino Linotype"/>
        </w:rPr>
        <w:t xml:space="preserve">se comparte el sentido en general de la resolución presentada por </w:t>
      </w:r>
      <w:r w:rsidR="00263AF4">
        <w:rPr>
          <w:rFonts w:ascii="Palatino Linotype" w:hAnsi="Palatino Linotype"/>
        </w:rPr>
        <w:t>la</w:t>
      </w:r>
      <w:r w:rsidR="00FA30C9" w:rsidRPr="00CC5301">
        <w:rPr>
          <w:rFonts w:ascii="Palatino Linotype" w:hAnsi="Palatino Linotype"/>
        </w:rPr>
        <w:t xml:space="preserve"> Comisionad</w:t>
      </w:r>
      <w:r w:rsidR="00263AF4">
        <w:rPr>
          <w:rFonts w:ascii="Palatino Linotype" w:hAnsi="Palatino Linotype"/>
        </w:rPr>
        <w:t>a</w:t>
      </w:r>
      <w:r w:rsidR="00FA30C9" w:rsidRPr="00CC5301">
        <w:rPr>
          <w:rFonts w:ascii="Palatino Linotype" w:hAnsi="Palatino Linotype"/>
        </w:rPr>
        <w:t xml:space="preserve"> Ponente, no obstante se hará mención de un punto que en opinión de quien suscribe, se debió tomar en consideración al momento de resolver </w:t>
      </w:r>
      <w:r w:rsidR="001934A8">
        <w:rPr>
          <w:rFonts w:ascii="Palatino Linotype" w:hAnsi="Palatino Linotype"/>
        </w:rPr>
        <w:t>el</w:t>
      </w:r>
      <w:r w:rsidR="00E10CC9">
        <w:rPr>
          <w:rFonts w:ascii="Palatino Linotype" w:hAnsi="Palatino Linotype"/>
        </w:rPr>
        <w:t xml:space="preserve"> </w:t>
      </w:r>
      <w:r w:rsidR="00FA30C9" w:rsidRPr="00CC5301">
        <w:rPr>
          <w:rFonts w:ascii="Palatino Linotype" w:hAnsi="Palatino Linotype"/>
        </w:rPr>
        <w:t xml:space="preserve">recurso que nos ocupa. </w:t>
      </w:r>
    </w:p>
    <w:p w:rsidR="00DB4459" w:rsidRDefault="00DB4459" w:rsidP="00AC0505">
      <w:pPr>
        <w:spacing w:after="0" w:line="360" w:lineRule="auto"/>
        <w:jc w:val="both"/>
        <w:rPr>
          <w:rFonts w:ascii="Palatino Linotype" w:hAnsi="Palatino Linotype"/>
        </w:rPr>
      </w:pPr>
    </w:p>
    <w:p w:rsidR="00263AF4" w:rsidRDefault="00FA30C9" w:rsidP="00AC0505">
      <w:pPr>
        <w:spacing w:after="0" w:line="360" w:lineRule="auto"/>
        <w:jc w:val="both"/>
        <w:rPr>
          <w:rFonts w:ascii="Palatino Linotype" w:hAnsi="Palatino Linotype"/>
        </w:rPr>
      </w:pPr>
      <w:r w:rsidRPr="00CC5301">
        <w:rPr>
          <w:rFonts w:ascii="Palatino Linotype" w:hAnsi="Palatino Linotype"/>
        </w:rPr>
        <w:t xml:space="preserve">Para tal fin, es necesario </w:t>
      </w:r>
      <w:r w:rsidR="00597ACE" w:rsidRPr="00CC5301">
        <w:rPr>
          <w:rFonts w:ascii="Palatino Linotype" w:hAnsi="Palatino Linotype"/>
        </w:rPr>
        <w:t xml:space="preserve">traer a colación que mediante </w:t>
      </w:r>
      <w:r w:rsidR="00263AF4">
        <w:rPr>
          <w:rFonts w:ascii="Palatino Linotype" w:hAnsi="Palatino Linotype"/>
        </w:rPr>
        <w:t xml:space="preserve">la solicitud de información </w:t>
      </w:r>
      <w:r w:rsidR="00263AF4">
        <w:rPr>
          <w:rFonts w:ascii="Palatino Linotype" w:hAnsi="Palatino Linotype"/>
          <w:b/>
        </w:rPr>
        <w:t xml:space="preserve">00400/PLEGISLA/IP/2018 </w:t>
      </w:r>
      <w:r w:rsidR="00263AF4">
        <w:rPr>
          <w:rFonts w:ascii="Palatino Linotype" w:hAnsi="Palatino Linotype"/>
        </w:rPr>
        <w:t xml:space="preserve">el particular requirió la siguiente información: </w:t>
      </w:r>
    </w:p>
    <w:p w:rsidR="00263AF4" w:rsidRDefault="00263AF4" w:rsidP="00F265B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Nómina de las dos quincenas de marzo 2018, con el nombre de cada servidor público y funcionario, su sueldo y salario bruto sin excedentes o compensaciones. </w:t>
      </w:r>
    </w:p>
    <w:p w:rsidR="00263AF4" w:rsidRDefault="00263AF4" w:rsidP="00F265B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El o los documentos en donde consten los conceptos que forman parte del sobresueldo, compensaciones, horas extras, comisiones, apoyos escolares, vales, apoyos en general, excedentes y similares, otorgados a los servidores públicos adscritos al </w:t>
      </w:r>
      <w:r>
        <w:rPr>
          <w:rFonts w:ascii="Palatino Linotype" w:hAnsi="Palatino Linotype"/>
          <w:b/>
        </w:rPr>
        <w:t xml:space="preserve">Sujeto Obligado, </w:t>
      </w:r>
      <w:r>
        <w:rPr>
          <w:rFonts w:ascii="Palatino Linotype" w:hAnsi="Palatino Linotype"/>
        </w:rPr>
        <w:t xml:space="preserve">correspondientes a la primera y segunda quincena de marzo de dos mil dieciocho. </w:t>
      </w:r>
    </w:p>
    <w:p w:rsidR="00263AF4" w:rsidRPr="00263AF4" w:rsidRDefault="00263AF4" w:rsidP="00F265B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Lista de raya de los servidores públicos adscritos al </w:t>
      </w:r>
      <w:r>
        <w:rPr>
          <w:rFonts w:ascii="Palatino Linotype" w:hAnsi="Palatino Linotype"/>
          <w:b/>
        </w:rPr>
        <w:t xml:space="preserve">Sujeto Obligado, </w:t>
      </w:r>
      <w:r>
        <w:rPr>
          <w:rFonts w:ascii="Palatino Linotype" w:hAnsi="Palatino Linotype"/>
        </w:rPr>
        <w:t xml:space="preserve">correspondientes a la primera y segunda quince de marzo de dos mil dieciocho. </w:t>
      </w:r>
    </w:p>
    <w:p w:rsidR="00263AF4" w:rsidRPr="00FD725A" w:rsidRDefault="00263AF4" w:rsidP="00263AF4">
      <w:pPr>
        <w:pStyle w:val="Prrafodelista"/>
        <w:tabs>
          <w:tab w:val="left" w:pos="709"/>
        </w:tabs>
        <w:spacing w:before="240" w:after="0" w:line="360" w:lineRule="auto"/>
        <w:ind w:right="51"/>
        <w:contextualSpacing w:val="0"/>
        <w:jc w:val="both"/>
        <w:rPr>
          <w:rFonts w:ascii="Palatino Linotype" w:hAnsi="Palatino Linotype"/>
        </w:rPr>
      </w:pPr>
      <w:r w:rsidRPr="00FD725A">
        <w:rPr>
          <w:rFonts w:ascii="Palatino Linotype" w:hAnsi="Palatino Linotype"/>
        </w:rPr>
        <w:tab/>
      </w:r>
    </w:p>
    <w:p w:rsidR="00263AF4" w:rsidRDefault="00263AF4" w:rsidP="00AC0505">
      <w:pPr>
        <w:spacing w:after="0" w:line="360" w:lineRule="auto"/>
        <w:jc w:val="both"/>
        <w:rPr>
          <w:rFonts w:ascii="Palatino Linotype" w:hAnsi="Palatino Linotype"/>
        </w:rPr>
      </w:pPr>
    </w:p>
    <w:p w:rsidR="00F265B3" w:rsidRDefault="00122F5E" w:rsidP="00AC0505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ese contexto, debe precisarse </w:t>
      </w:r>
      <w:r w:rsidR="00F265B3">
        <w:rPr>
          <w:rFonts w:ascii="Palatino Linotype" w:hAnsi="Palatino Linotype"/>
        </w:rPr>
        <w:t xml:space="preserve">que invariablemente resulta procedente la entrega de la información requerida, </w:t>
      </w:r>
      <w:r w:rsidR="001934A8">
        <w:rPr>
          <w:rFonts w:ascii="Palatino Linotype" w:hAnsi="Palatino Linotype"/>
        </w:rPr>
        <w:t>refuerza</w:t>
      </w:r>
      <w:r w:rsidR="00F265B3">
        <w:rPr>
          <w:rFonts w:ascii="Palatino Linotype" w:hAnsi="Palatino Linotype"/>
        </w:rPr>
        <w:t xml:space="preserve"> lo anterior el criterio </w:t>
      </w:r>
      <w:r w:rsidR="00F265B3">
        <w:rPr>
          <w:rFonts w:ascii="Palatino Linotype" w:hAnsi="Palatino Linotype"/>
          <w:b/>
        </w:rPr>
        <w:t xml:space="preserve">02/2003 </w:t>
      </w:r>
      <w:r w:rsidR="00F265B3">
        <w:rPr>
          <w:rFonts w:ascii="Palatino Linotype" w:hAnsi="Palatino Linotype"/>
        </w:rPr>
        <w:t xml:space="preserve">emitido por el Comité de Acceso a la Información Pública y Protección de Datos Personales de la Suprema Corte de Justicia de la Nación que a continuación se cita: </w:t>
      </w:r>
    </w:p>
    <w:p w:rsidR="00F265B3" w:rsidRPr="00F975C8" w:rsidRDefault="00F265B3" w:rsidP="00F265B3">
      <w:pPr>
        <w:spacing w:before="240" w:line="360" w:lineRule="auto"/>
        <w:ind w:left="851" w:right="851"/>
        <w:jc w:val="center"/>
        <w:rPr>
          <w:rFonts w:ascii="Palatino Linotype" w:hAnsi="Palatino Linotype" w:cs="Arial"/>
          <w:b/>
          <w:i/>
          <w:lang w:val="es-ES"/>
        </w:rPr>
      </w:pPr>
      <w:r>
        <w:rPr>
          <w:rFonts w:ascii="Palatino Linotype" w:hAnsi="Palatino Linotype" w:cs="Arial"/>
          <w:b/>
          <w:i/>
          <w:lang w:val="es-ES"/>
        </w:rPr>
        <w:t>“</w:t>
      </w:r>
      <w:r w:rsidRPr="00F975C8">
        <w:rPr>
          <w:rFonts w:ascii="Palatino Linotype" w:hAnsi="Palatino Linotype" w:cs="Arial"/>
          <w:b/>
          <w:i/>
          <w:lang w:val="es-ES"/>
        </w:rPr>
        <w:t>Criterio 02/2003.</w:t>
      </w:r>
    </w:p>
    <w:p w:rsidR="00F265B3" w:rsidRPr="00B272A6" w:rsidRDefault="00F265B3" w:rsidP="00F265B3">
      <w:pPr>
        <w:spacing w:before="240" w:line="360" w:lineRule="auto"/>
        <w:ind w:left="851" w:right="851"/>
        <w:jc w:val="both"/>
        <w:rPr>
          <w:rFonts w:ascii="Palatino Linotype" w:hAnsi="Palatino Linotype" w:cs="Arial"/>
          <w:b/>
          <w:i/>
          <w:lang w:val="es-ES"/>
        </w:rPr>
      </w:pPr>
      <w:r w:rsidRPr="00F975C8">
        <w:rPr>
          <w:rFonts w:ascii="Palatino Linotype" w:hAnsi="Palatino Linotype" w:cs="Arial"/>
          <w:b/>
          <w:i/>
          <w:lang w:val="es-ES"/>
        </w:rPr>
        <w:t>INGRESOS DE LOS SERVIDORES PÚBLICOS, SON INFORMACIÓN PÚBLICA AÚN Y CUANDO CONSTITUYEN DATOS PERSONALES QUE SE REFIEREN AL PATRIMONIO DE AQUÉLLOS.</w:t>
      </w:r>
      <w:r w:rsidRPr="00F975C8">
        <w:rPr>
          <w:rFonts w:ascii="Palatino Linotype" w:hAnsi="Palatino Linotype" w:cs="Arial"/>
          <w:i/>
          <w:lang w:val="es-ES"/>
        </w:rPr>
        <w:t xml:space="preserve"> De la interpretación sistemática de lo previsto en los artículos 3º, fracción II; 7º, 9º y 18, fracción II, de la Ley Federal de Transparencia y Acceso a la Información Pública Gubernamental se advierte que no constituye información confidencial la relativa </w:t>
      </w:r>
      <w:r w:rsidRPr="00F975C8">
        <w:rPr>
          <w:rFonts w:ascii="Palatino Linotype" w:hAnsi="Palatino Linotype" w:cs="Arial"/>
          <w:i/>
          <w:lang w:val="es-ES"/>
        </w:rPr>
        <w:lastRenderedPageBreak/>
        <w:t xml:space="preserve">a los ingresos que reciben los servidores públicos, ya que aun y cuando se trata de datos personales relativos a su patrimonio, para su difusión no se requiere consentimiento de aquellos, </w:t>
      </w:r>
      <w:r w:rsidRPr="00F975C8">
        <w:rPr>
          <w:rFonts w:ascii="Palatino Linotype" w:hAnsi="Palatino Linotype" w:cs="Arial"/>
          <w:b/>
          <w:i/>
          <w:lang w:val="es-ES"/>
        </w:rPr>
        <w:t>lo que deriva del hecho de que en términos de los previsto en el citado ordenamiento deben ponerse a disposición del público a través de medios remotos o locales de comunicación electrónica, tanto el directorio de servidores públicos como las remuneraciones mensuales por puesto incluso</w:t>
      </w:r>
      <w:r w:rsidRPr="00F975C8">
        <w:rPr>
          <w:rFonts w:ascii="Palatino Linotype" w:hAnsi="Palatino Linotype" w:cs="Arial"/>
          <w:i/>
          <w:lang w:val="es-ES"/>
        </w:rPr>
        <w:t xml:space="preserve"> el sistema de compensación…”</w:t>
      </w:r>
      <w:r>
        <w:rPr>
          <w:rFonts w:ascii="Palatino Linotype" w:hAnsi="Palatino Linotype" w:cs="Arial"/>
          <w:i/>
          <w:lang w:val="es-ES"/>
        </w:rPr>
        <w:t xml:space="preserve"> </w:t>
      </w:r>
      <w:r>
        <w:rPr>
          <w:rFonts w:ascii="Palatino Linotype" w:hAnsi="Palatino Linotype" w:cs="Arial"/>
          <w:b/>
          <w:i/>
          <w:lang w:val="es-ES"/>
        </w:rPr>
        <w:t>[Sic]</w:t>
      </w:r>
    </w:p>
    <w:p w:rsidR="00263AF4" w:rsidRDefault="00122F5E" w:rsidP="00AC0505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="00F265B3">
        <w:rPr>
          <w:rFonts w:ascii="Palatino Linotype" w:hAnsi="Palatino Linotype"/>
        </w:rPr>
        <w:t xml:space="preserve"> </w:t>
      </w:r>
    </w:p>
    <w:p w:rsidR="00581D43" w:rsidRDefault="00581D43" w:rsidP="00AC0505">
      <w:pPr>
        <w:spacing w:after="0" w:line="360" w:lineRule="auto"/>
        <w:jc w:val="both"/>
        <w:rPr>
          <w:rFonts w:ascii="Palatino Linotype" w:hAnsi="Palatino Linotype"/>
        </w:rPr>
      </w:pPr>
      <w:r w:rsidRPr="00965B27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C3C33AA" wp14:editId="2C970741">
            <wp:simplePos x="0" y="0"/>
            <wp:positionH relativeFrom="page">
              <wp:align>center</wp:align>
            </wp:positionH>
            <wp:positionV relativeFrom="paragraph">
              <wp:posOffset>2019300</wp:posOffset>
            </wp:positionV>
            <wp:extent cx="5667375" cy="2295525"/>
            <wp:effectExtent l="19050" t="19050" r="28575" b="28575"/>
            <wp:wrapThrough wrapText="bothSides">
              <wp:wrapPolygon edited="0">
                <wp:start x="-73" y="-179"/>
                <wp:lineTo x="-73" y="21690"/>
                <wp:lineTo x="21636" y="21690"/>
                <wp:lineTo x="21636" y="-179"/>
                <wp:lineTo x="-73" y="-179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5B3">
        <w:rPr>
          <w:rFonts w:ascii="Palatino Linotype" w:hAnsi="Palatino Linotype"/>
        </w:rPr>
        <w:t xml:space="preserve">Ahora bien, vale la pena mencionar que el dos de octubre de dos mil dieciocho </w:t>
      </w:r>
      <w:r w:rsidR="00F265B3">
        <w:rPr>
          <w:rFonts w:ascii="Palatino Linotype" w:hAnsi="Palatino Linotype"/>
          <w:b/>
        </w:rPr>
        <w:t xml:space="preserve">El Sujeto Obligado </w:t>
      </w:r>
      <w:r w:rsidR="00F265B3">
        <w:rPr>
          <w:rFonts w:ascii="Palatino Linotype" w:hAnsi="Palatino Linotype"/>
        </w:rPr>
        <w:t xml:space="preserve">notificó su respuesta a la solicitud de información, asimismo, adjuntó </w:t>
      </w:r>
      <w:r w:rsidR="00A56B6F" w:rsidRPr="00965B27">
        <w:rPr>
          <w:rFonts w:ascii="Palatino Linotype" w:hAnsi="Palatino Linotype" w:cs="Arial"/>
        </w:rPr>
        <w:t>los</w:t>
      </w:r>
      <w:r w:rsidR="00A56B6F" w:rsidRPr="00965B27">
        <w:rPr>
          <w:rFonts w:ascii="Palatino Linotype" w:hAnsi="Palatino Linotype"/>
        </w:rPr>
        <w:t xml:space="preserve"> archivos electrónicos denominados </w:t>
      </w:r>
      <w:r w:rsidR="00A56B6F">
        <w:rPr>
          <w:rFonts w:ascii="Palatino Linotype" w:hAnsi="Palatino Linotype"/>
        </w:rPr>
        <w:t>“</w:t>
      </w:r>
      <w:r w:rsidR="00A56B6F" w:rsidRPr="00965B27">
        <w:rPr>
          <w:rFonts w:ascii="Palatino Linotype" w:hAnsi="Palatino Linotype"/>
          <w:b/>
          <w:i/>
        </w:rPr>
        <w:t>Solicitud 400.zip</w:t>
      </w:r>
      <w:r w:rsidR="00A56B6F">
        <w:rPr>
          <w:rFonts w:ascii="Palatino Linotype" w:hAnsi="Palatino Linotype"/>
          <w:b/>
          <w:i/>
        </w:rPr>
        <w:t>”</w:t>
      </w:r>
      <w:r w:rsidR="00A56B6F" w:rsidRPr="00965B27">
        <w:rPr>
          <w:rFonts w:ascii="Palatino Linotype" w:hAnsi="Palatino Linotype"/>
        </w:rPr>
        <w:t>,</w:t>
      </w:r>
      <w:r w:rsidR="00A56B6F" w:rsidRPr="00965B27">
        <w:rPr>
          <w:rFonts w:ascii="Palatino Linotype" w:hAnsi="Palatino Linotype"/>
          <w:b/>
          <w:i/>
        </w:rPr>
        <w:t xml:space="preserve"> </w:t>
      </w:r>
      <w:r w:rsidR="00A56B6F">
        <w:rPr>
          <w:rFonts w:ascii="Palatino Linotype" w:hAnsi="Palatino Linotype"/>
          <w:b/>
          <w:i/>
        </w:rPr>
        <w:t>“</w:t>
      </w:r>
      <w:r w:rsidR="00A56B6F" w:rsidRPr="00965B27">
        <w:rPr>
          <w:rFonts w:ascii="Palatino Linotype" w:hAnsi="Palatino Linotype"/>
          <w:b/>
          <w:i/>
        </w:rPr>
        <w:t>Solicitud 400.pdf</w:t>
      </w:r>
      <w:r w:rsidR="00A56B6F">
        <w:rPr>
          <w:rFonts w:ascii="Palatino Linotype" w:hAnsi="Palatino Linotype"/>
          <w:b/>
          <w:i/>
        </w:rPr>
        <w:t>”</w:t>
      </w:r>
      <w:r w:rsidR="00A56B6F" w:rsidRPr="00965B27">
        <w:rPr>
          <w:rFonts w:ascii="Palatino Linotype" w:hAnsi="Palatino Linotype"/>
          <w:b/>
          <w:i/>
        </w:rPr>
        <w:t xml:space="preserve">  </w:t>
      </w:r>
      <w:r w:rsidR="00A56B6F" w:rsidRPr="00965B27">
        <w:rPr>
          <w:rFonts w:ascii="Palatino Linotype" w:hAnsi="Palatino Linotype"/>
        </w:rPr>
        <w:t xml:space="preserve">y </w:t>
      </w:r>
      <w:r w:rsidR="00A56B6F">
        <w:rPr>
          <w:rFonts w:ascii="Palatino Linotype" w:hAnsi="Palatino Linotype"/>
        </w:rPr>
        <w:t>“</w:t>
      </w:r>
      <w:r w:rsidR="00A56B6F" w:rsidRPr="00965B27">
        <w:rPr>
          <w:rFonts w:ascii="Palatino Linotype" w:hAnsi="Palatino Linotype"/>
          <w:b/>
          <w:i/>
        </w:rPr>
        <w:t>400 RESPUESTA SAF.pdf</w:t>
      </w:r>
      <w:r w:rsidR="00A56B6F">
        <w:rPr>
          <w:rFonts w:ascii="Palatino Linotype" w:hAnsi="Palatino Linotype"/>
        </w:rPr>
        <w:t xml:space="preserve">” mediante los cuales </w:t>
      </w:r>
      <w:r>
        <w:rPr>
          <w:rFonts w:ascii="Palatino Linotype" w:hAnsi="Palatino Linotype"/>
        </w:rPr>
        <w:t xml:space="preserve">en lo medular </w:t>
      </w:r>
      <w:r w:rsidR="00A56B6F">
        <w:rPr>
          <w:rFonts w:ascii="Palatino Linotype" w:hAnsi="Palatino Linotype"/>
        </w:rPr>
        <w:t xml:space="preserve">se remite la </w:t>
      </w:r>
      <w:r>
        <w:rPr>
          <w:rFonts w:ascii="Palatino Linotype" w:hAnsi="Palatino Linotype"/>
        </w:rPr>
        <w:t>nómina</w:t>
      </w:r>
      <w:r w:rsidR="00A56B6F">
        <w:rPr>
          <w:rFonts w:ascii="Palatino Linotype" w:hAnsi="Palatino Linotype"/>
        </w:rPr>
        <w:t xml:space="preserve"> correspondiente a la primera y segunda </w:t>
      </w:r>
      <w:r>
        <w:rPr>
          <w:rFonts w:ascii="Palatino Linotype" w:hAnsi="Palatino Linotype"/>
        </w:rPr>
        <w:t>quincena</w:t>
      </w:r>
      <w:r w:rsidR="00A56B6F">
        <w:rPr>
          <w:rFonts w:ascii="Palatino Linotype" w:hAnsi="Palatino Linotype"/>
        </w:rPr>
        <w:t xml:space="preserve"> de marzo de dos mil dieciocho, </w:t>
      </w:r>
      <w:r>
        <w:rPr>
          <w:rFonts w:ascii="Palatino Linotype" w:hAnsi="Palatino Linotype"/>
        </w:rPr>
        <w:t xml:space="preserve">así como las claves para identificar los diferentes conceptos de percepciones y deducciones. Sirven de sustento las siguientes imágenes ilustrativas: </w:t>
      </w:r>
    </w:p>
    <w:p w:rsidR="00581D43" w:rsidRDefault="00581D43" w:rsidP="00AC0505">
      <w:pPr>
        <w:spacing w:after="0" w:line="360" w:lineRule="auto"/>
        <w:jc w:val="both"/>
        <w:rPr>
          <w:rFonts w:ascii="Palatino Linotype" w:hAnsi="Palatino Linotype"/>
        </w:rPr>
      </w:pPr>
      <w:r w:rsidRPr="00965B27"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612CAE76" wp14:editId="0A2DC335">
            <wp:simplePos x="0" y="0"/>
            <wp:positionH relativeFrom="page">
              <wp:align>center</wp:align>
            </wp:positionH>
            <wp:positionV relativeFrom="paragraph">
              <wp:posOffset>19050</wp:posOffset>
            </wp:positionV>
            <wp:extent cx="5382260" cy="6905625"/>
            <wp:effectExtent l="19050" t="19050" r="27940" b="28575"/>
            <wp:wrapThrough wrapText="bothSides">
              <wp:wrapPolygon edited="0">
                <wp:start x="-76" y="-60"/>
                <wp:lineTo x="-76" y="21630"/>
                <wp:lineTo x="21636" y="21630"/>
                <wp:lineTo x="21636" y="-60"/>
                <wp:lineTo x="-76" y="-6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6905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B6F" w:rsidRDefault="00A56B6F" w:rsidP="00A56B6F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Inconforme con la respuesta del </w:t>
      </w:r>
      <w:r>
        <w:rPr>
          <w:rFonts w:ascii="Palatino Linotype" w:hAnsi="Palatino Linotype"/>
          <w:b/>
        </w:rPr>
        <w:t xml:space="preserve">Sujeto Obligado, El Recurrente </w:t>
      </w:r>
      <w:r>
        <w:rPr>
          <w:rFonts w:ascii="Palatino Linotype" w:hAnsi="Palatino Linotype"/>
        </w:rPr>
        <w:t xml:space="preserve">interpuso recurso de revisión en fecha dos de octubre de los corrientes, señalando como motivos de inconformidad: </w:t>
      </w:r>
    </w:p>
    <w:p w:rsidR="00A56B6F" w:rsidRPr="00581D43" w:rsidRDefault="00A56B6F" w:rsidP="00581D43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</w:rPr>
      </w:pPr>
      <w:r w:rsidRPr="00581D43">
        <w:rPr>
          <w:rFonts w:ascii="Palatino Linotype" w:hAnsi="Palatino Linotype"/>
          <w:i/>
          <w:color w:val="000000"/>
        </w:rPr>
        <w:t xml:space="preserve"> “la respuesta del sujeto obligado, se encuentra incompleta, de acuerdo a lo solicitado. solicito respetuosamente a este órgano garante, requerir al sujeto obligado a transparentar la información publica solicitada. El sujeto obligado, se autorizo una prorroga para dar respuesta a mi solicitud de información, sin embargo, no me envió, el acuerdo, ni el acta, mediante los cuales su comité de transparencia, autorizo dicha prorroga. Acuerdo y acta señalados en la ley estatal de transparencia</w:t>
      </w:r>
      <w:r w:rsidR="00581D43">
        <w:rPr>
          <w:rFonts w:ascii="Palatino Linotype" w:hAnsi="Palatino Linotype"/>
          <w:i/>
          <w:color w:val="000000"/>
        </w:rPr>
        <w:t xml:space="preserve">” </w:t>
      </w:r>
      <w:r w:rsidR="00581D43">
        <w:rPr>
          <w:rFonts w:ascii="Palatino Linotype" w:hAnsi="Palatino Linotype"/>
          <w:b/>
          <w:i/>
          <w:color w:val="000000"/>
        </w:rPr>
        <w:t>[Sic]</w:t>
      </w:r>
    </w:p>
    <w:p w:rsidR="00A56B6F" w:rsidRDefault="00A56B6F" w:rsidP="00A56B6F">
      <w:pPr>
        <w:spacing w:after="0" w:line="360" w:lineRule="auto"/>
        <w:jc w:val="both"/>
        <w:rPr>
          <w:rFonts w:ascii="Palatino Linotype" w:hAnsi="Palatino Linotype"/>
        </w:rPr>
      </w:pPr>
    </w:p>
    <w:p w:rsidR="00581D43" w:rsidRPr="00981C96" w:rsidRDefault="00581D43" w:rsidP="00A56B6F">
      <w:pPr>
        <w:widowControl w:val="0"/>
        <w:autoSpaceDE w:val="0"/>
        <w:autoSpaceDN w:val="0"/>
        <w:adjustRightInd w:val="0"/>
        <w:spacing w:before="30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981C96">
        <w:rPr>
          <w:rFonts w:ascii="Palatino Linotype" w:hAnsi="Palatino Linotype"/>
          <w:sz w:val="24"/>
          <w:szCs w:val="24"/>
        </w:rPr>
        <w:t xml:space="preserve">Resulta oportuno traer a colación que mediante el informe justificado </w:t>
      </w:r>
      <w:r w:rsidR="00981C96" w:rsidRPr="00981C96">
        <w:rPr>
          <w:rFonts w:ascii="Palatino Linotype" w:hAnsi="Palatino Linotype"/>
          <w:sz w:val="24"/>
          <w:szCs w:val="24"/>
        </w:rPr>
        <w:t xml:space="preserve">rendido por </w:t>
      </w:r>
      <w:r w:rsidR="00981C96" w:rsidRPr="00981C96">
        <w:rPr>
          <w:rFonts w:ascii="Palatino Linotype" w:hAnsi="Palatino Linotype"/>
          <w:b/>
          <w:sz w:val="24"/>
          <w:szCs w:val="24"/>
        </w:rPr>
        <w:t xml:space="preserve">El Sujeto Obligado, </w:t>
      </w:r>
      <w:r w:rsidR="00981C96" w:rsidRPr="00981C96">
        <w:rPr>
          <w:rFonts w:ascii="Palatino Linotype" w:hAnsi="Palatino Linotype"/>
          <w:sz w:val="24"/>
          <w:szCs w:val="24"/>
        </w:rPr>
        <w:t>la ponencia resolutora se allegó de los documentos electrónicos “</w:t>
      </w:r>
      <w:r w:rsidR="00981C96" w:rsidRPr="00981C96">
        <w:rPr>
          <w:rFonts w:ascii="Palatino Linotype" w:hAnsi="Palatino Linotype" w:cs="Arial"/>
          <w:b/>
          <w:i/>
          <w:sz w:val="24"/>
          <w:szCs w:val="24"/>
          <w:lang w:val="es-ES_tradnl"/>
        </w:rPr>
        <w:t>INFORME SAF 3707.pdf”</w:t>
      </w:r>
      <w:r w:rsidR="00981C96" w:rsidRPr="00981C96">
        <w:rPr>
          <w:rFonts w:ascii="Palatino Linotype" w:hAnsi="Palatino Linotype" w:cs="Arial"/>
          <w:sz w:val="24"/>
          <w:szCs w:val="24"/>
          <w:lang w:val="es-ES_tradnl"/>
        </w:rPr>
        <w:t xml:space="preserve"> y “</w:t>
      </w:r>
      <w:r w:rsidR="00981C96" w:rsidRPr="00981C96">
        <w:rPr>
          <w:rFonts w:ascii="Palatino Linotype" w:hAnsi="Palatino Linotype" w:cs="Arial"/>
          <w:b/>
          <w:i/>
          <w:sz w:val="24"/>
          <w:szCs w:val="24"/>
          <w:lang w:val="es-ES_tradnl"/>
        </w:rPr>
        <w:t>3707 informe justificado.pdf</w:t>
      </w:r>
      <w:r w:rsidR="00981C96" w:rsidRPr="00981C96">
        <w:rPr>
          <w:rFonts w:ascii="Palatino Linotype" w:hAnsi="Palatino Linotype" w:cs="Arial"/>
          <w:b/>
          <w:bCs/>
          <w:i/>
          <w:sz w:val="24"/>
          <w:szCs w:val="24"/>
        </w:rPr>
        <w:t xml:space="preserve">  -2018.pdf</w:t>
      </w:r>
      <w:r w:rsidR="00981C96" w:rsidRPr="00981C96">
        <w:rPr>
          <w:rFonts w:ascii="Palatino Linotype" w:hAnsi="Palatino Linotype"/>
          <w:bCs/>
          <w:sz w:val="24"/>
          <w:szCs w:val="24"/>
        </w:rPr>
        <w:t xml:space="preserve">”, a través de los cuales se confirma la respuesta primigenia. </w:t>
      </w:r>
    </w:p>
    <w:p w:rsidR="00B30BE2" w:rsidRDefault="001934A8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este tenor</w:t>
      </w:r>
      <w:r w:rsidR="00A56B6F" w:rsidRPr="00981C96">
        <w:rPr>
          <w:rFonts w:ascii="Palatino Linotype" w:hAnsi="Palatino Linotype"/>
          <w:sz w:val="24"/>
          <w:szCs w:val="24"/>
        </w:rPr>
        <w:t xml:space="preserve">, la suscrita no comparte la postura adoptada por la </w:t>
      </w:r>
      <w:r w:rsidR="00981C96" w:rsidRPr="00981C96">
        <w:rPr>
          <w:rFonts w:ascii="Palatino Linotype" w:hAnsi="Palatino Linotype"/>
          <w:sz w:val="24"/>
          <w:szCs w:val="24"/>
        </w:rPr>
        <w:t>Comisionada</w:t>
      </w:r>
      <w:r w:rsidR="00A56B6F" w:rsidRPr="00981C96">
        <w:rPr>
          <w:rFonts w:ascii="Palatino Linotype" w:hAnsi="Palatino Linotype"/>
          <w:sz w:val="24"/>
          <w:szCs w:val="24"/>
        </w:rPr>
        <w:t xml:space="preserve"> Ponente, al omitir pronunciarse respecto de la lista de raya </w:t>
      </w:r>
      <w:r w:rsidR="00981C96">
        <w:rPr>
          <w:rFonts w:ascii="Palatino Linotype" w:hAnsi="Palatino Linotype"/>
          <w:sz w:val="24"/>
          <w:szCs w:val="24"/>
        </w:rPr>
        <w:t xml:space="preserve">(tiempo determinado) </w:t>
      </w:r>
      <w:r w:rsidR="00A56B6F" w:rsidRPr="00981C96">
        <w:rPr>
          <w:rFonts w:ascii="Palatino Linotype" w:hAnsi="Palatino Linotype"/>
          <w:sz w:val="24"/>
          <w:szCs w:val="24"/>
        </w:rPr>
        <w:t xml:space="preserve">correspondiente a las dos </w:t>
      </w:r>
      <w:r w:rsidR="00981C96" w:rsidRPr="00981C96">
        <w:rPr>
          <w:rFonts w:ascii="Palatino Linotype" w:hAnsi="Palatino Linotype"/>
          <w:sz w:val="24"/>
          <w:szCs w:val="24"/>
        </w:rPr>
        <w:t>quincenas</w:t>
      </w:r>
      <w:r w:rsidR="00A56B6F" w:rsidRPr="00981C96">
        <w:rPr>
          <w:rFonts w:ascii="Palatino Linotype" w:hAnsi="Palatino Linotype"/>
          <w:sz w:val="24"/>
          <w:szCs w:val="24"/>
        </w:rPr>
        <w:t xml:space="preserve"> de marzo de los corrientes. </w:t>
      </w:r>
      <w:r w:rsidR="00581D43" w:rsidRPr="00981C96">
        <w:rPr>
          <w:rFonts w:ascii="Palatino Linotype" w:hAnsi="Palatino Linotype"/>
          <w:sz w:val="24"/>
          <w:szCs w:val="24"/>
        </w:rPr>
        <w:t xml:space="preserve">Lo anterior, ante la imposibilidad de advertir </w:t>
      </w:r>
      <w:r w:rsidR="00981C96">
        <w:rPr>
          <w:rFonts w:ascii="Palatino Linotype" w:hAnsi="Palatino Linotype"/>
          <w:sz w:val="24"/>
          <w:szCs w:val="24"/>
        </w:rPr>
        <w:t xml:space="preserve">bajo que esquema laboral se encuentran sujetos los servidores públicos adscritos al </w:t>
      </w:r>
      <w:r w:rsidR="00981C96">
        <w:rPr>
          <w:rFonts w:ascii="Palatino Linotype" w:hAnsi="Palatino Linotype"/>
          <w:b/>
          <w:sz w:val="24"/>
          <w:szCs w:val="24"/>
        </w:rPr>
        <w:t xml:space="preserve">Sujeto Obligado. </w:t>
      </w:r>
    </w:p>
    <w:p w:rsidR="00981C96" w:rsidRDefault="00981C96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981C96" w:rsidRDefault="00981C96" w:rsidP="00AC050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Robustece lo anterior los artículos 6 y 14 de la Ley del Trabajo de los Servidores Públicos del Estado de México y Municipios, normatividad invocada cuyo contenido literal es el siguiente: </w:t>
      </w:r>
    </w:p>
    <w:p w:rsidR="00981C96" w:rsidRPr="001934A8" w:rsidRDefault="00981C96" w:rsidP="001934A8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1934A8">
        <w:rPr>
          <w:rFonts w:ascii="Palatino Linotype" w:hAnsi="Palatino Linotype"/>
          <w:i/>
        </w:rPr>
        <w:t>“ARTICULO 6. Los servidores públicos se clasifican en generales y de confianza, los cuales, de acuerdo con la duración de sus relaciones de trabajo pueden ser: por tiempo u obra determinados o por tiempo indeterminado.</w:t>
      </w:r>
    </w:p>
    <w:p w:rsidR="00981C96" w:rsidRPr="001934A8" w:rsidRDefault="00981C96" w:rsidP="001934A8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1934A8">
        <w:rPr>
          <w:rFonts w:ascii="Palatino Linotype" w:hAnsi="Palatino Linotype"/>
          <w:i/>
        </w:rPr>
        <w:t>ARTÍCULO 14. Sólo se podrá contratar la prestación de servicios por tiempo determinado en los siguientes casos:</w:t>
      </w:r>
    </w:p>
    <w:p w:rsidR="00981C96" w:rsidRPr="001934A8" w:rsidRDefault="00981C96" w:rsidP="001934A8">
      <w:pPr>
        <w:pStyle w:val="Prrafodelista"/>
        <w:numPr>
          <w:ilvl w:val="0"/>
          <w:numId w:val="13"/>
        </w:numPr>
        <w:spacing w:before="240" w:line="360" w:lineRule="auto"/>
        <w:ind w:left="851" w:right="851" w:firstLine="0"/>
        <w:jc w:val="both"/>
        <w:rPr>
          <w:rFonts w:ascii="Palatino Linotype" w:hAnsi="Palatino Linotype"/>
          <w:i/>
        </w:rPr>
      </w:pPr>
      <w:r w:rsidRPr="001934A8">
        <w:rPr>
          <w:rFonts w:ascii="Palatino Linotype" w:hAnsi="Palatino Linotype"/>
          <w:i/>
        </w:rPr>
        <w:t>Cuando tenga por objeto sustituir interinamente a un servidor público;</w:t>
      </w:r>
    </w:p>
    <w:p w:rsidR="00981C96" w:rsidRPr="001934A8" w:rsidRDefault="00981C96" w:rsidP="001934A8">
      <w:pPr>
        <w:pStyle w:val="Prrafodelista"/>
        <w:numPr>
          <w:ilvl w:val="0"/>
          <w:numId w:val="13"/>
        </w:numPr>
        <w:spacing w:before="240" w:line="360" w:lineRule="auto"/>
        <w:ind w:left="851" w:right="851" w:firstLine="0"/>
        <w:jc w:val="both"/>
        <w:rPr>
          <w:rFonts w:ascii="Palatino Linotype" w:hAnsi="Palatino Linotype"/>
          <w:i/>
        </w:rPr>
      </w:pPr>
      <w:r w:rsidRPr="001934A8">
        <w:rPr>
          <w:rFonts w:ascii="Palatino Linotype" w:hAnsi="Palatino Linotype"/>
          <w:i/>
        </w:rPr>
        <w:t>Cuando sea necesario realizar labores que se presentan en forma esporádica;</w:t>
      </w:r>
    </w:p>
    <w:p w:rsidR="00981C96" w:rsidRPr="001934A8" w:rsidRDefault="00981C96" w:rsidP="001934A8">
      <w:pPr>
        <w:pStyle w:val="Prrafodelista"/>
        <w:numPr>
          <w:ilvl w:val="0"/>
          <w:numId w:val="13"/>
        </w:numPr>
        <w:spacing w:before="240" w:line="360" w:lineRule="auto"/>
        <w:ind w:left="851" w:right="851" w:firstLine="0"/>
        <w:jc w:val="both"/>
        <w:rPr>
          <w:rFonts w:ascii="Palatino Linotype" w:hAnsi="Palatino Linotype"/>
          <w:i/>
        </w:rPr>
      </w:pPr>
      <w:r w:rsidRPr="001934A8">
        <w:rPr>
          <w:rFonts w:ascii="Palatino Linotype" w:hAnsi="Palatino Linotype"/>
          <w:i/>
        </w:rPr>
        <w:t>Cuando aumenten las cargas de trabajo o haya rezago y se establezca un programa especial para desahogarlo, o para apoyar programas de inversión.</w:t>
      </w:r>
    </w:p>
    <w:p w:rsidR="00981C96" w:rsidRPr="001934A8" w:rsidRDefault="00981C96" w:rsidP="001934A8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</w:rPr>
      </w:pPr>
      <w:r w:rsidRPr="001934A8">
        <w:rPr>
          <w:rFonts w:ascii="Palatino Linotype" w:hAnsi="Palatino Linotype"/>
          <w:i/>
        </w:rPr>
        <w:t>El término máximo para el cual se podrá establecer una relación laboral por tiempo determinado será de un año ininterrumpidamente,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ley.</w:t>
      </w:r>
      <w:r w:rsidR="001934A8" w:rsidRPr="001934A8">
        <w:rPr>
          <w:rFonts w:ascii="Palatino Linotype" w:hAnsi="Palatino Linotype"/>
          <w:i/>
        </w:rPr>
        <w:t xml:space="preserve">” </w:t>
      </w:r>
      <w:r w:rsidR="001934A8" w:rsidRPr="001934A8">
        <w:rPr>
          <w:rFonts w:ascii="Palatino Linotype" w:hAnsi="Palatino Linotype"/>
          <w:b/>
          <w:i/>
        </w:rPr>
        <w:t>[Sic]</w:t>
      </w:r>
    </w:p>
    <w:p w:rsidR="009D35DB" w:rsidRDefault="009D35DB" w:rsidP="00153609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-250826</wp:posOffset>
                </wp:positionH>
                <wp:positionV relativeFrom="paragraph">
                  <wp:posOffset>13970</wp:posOffset>
                </wp:positionV>
                <wp:extent cx="6276975" cy="97155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413D0" id="Conector rec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75pt,1.1pt" to="474.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981C96" w:rsidRPr="00981C96" w:rsidRDefault="00153609" w:rsidP="00153609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atención a la normatividad antes señalada es posible advertir que </w:t>
      </w:r>
      <w:r w:rsidR="00981C96">
        <w:rPr>
          <w:rFonts w:ascii="Palatino Linotype" w:hAnsi="Palatino Linotype"/>
        </w:rPr>
        <w:t xml:space="preserve">la esfera competencial del </w:t>
      </w:r>
      <w:r w:rsidR="00981C96">
        <w:rPr>
          <w:rFonts w:ascii="Palatino Linotype" w:hAnsi="Palatino Linotype"/>
          <w:b/>
        </w:rPr>
        <w:t xml:space="preserve">Sujeto Obligado </w:t>
      </w:r>
      <w:r w:rsidR="00981C96">
        <w:rPr>
          <w:rFonts w:ascii="Palatino Linotype" w:hAnsi="Palatino Linotype"/>
        </w:rPr>
        <w:t xml:space="preserve">le permite contratar la prestación de servicios por tiempo determinado. En este sentido, la Ponencia Resolutora debió de ordenar la entrega de la lista de raya correspondiente a la primera y segunda quincena de marzo del año en curso. </w:t>
      </w:r>
    </w:p>
    <w:p w:rsidR="00981C96" w:rsidRPr="00AA63CE" w:rsidRDefault="00981C96" w:rsidP="00153609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Por otra parte, al tratarse de una atribución </w:t>
      </w:r>
      <w:r w:rsidR="009D35DB">
        <w:rPr>
          <w:rFonts w:ascii="Palatino Linotype" w:hAnsi="Palatino Linotype"/>
        </w:rPr>
        <w:t>de carácter optativo</w:t>
      </w:r>
      <w:r>
        <w:rPr>
          <w:rFonts w:ascii="Palatino Linotype" w:hAnsi="Palatino Linotype"/>
        </w:rPr>
        <w:t xml:space="preserve">, en caso de que </w:t>
      </w:r>
      <w:r>
        <w:rPr>
          <w:rFonts w:ascii="Palatino Linotype" w:hAnsi="Palatino Linotype"/>
          <w:b/>
        </w:rPr>
        <w:t xml:space="preserve">El Sujeto Obligado </w:t>
      </w:r>
      <w:r w:rsidR="001934A8">
        <w:rPr>
          <w:rFonts w:ascii="Palatino Linotype" w:hAnsi="Palatino Linotype"/>
        </w:rPr>
        <w:t>no contara</w:t>
      </w:r>
      <w:r w:rsidR="00AA63CE">
        <w:rPr>
          <w:rFonts w:ascii="Palatino Linotype" w:hAnsi="Palatino Linotype"/>
        </w:rPr>
        <w:t xml:space="preserve"> con la información solicitada, lo conducente debió de </w:t>
      </w:r>
      <w:r w:rsidR="001934A8">
        <w:rPr>
          <w:rFonts w:ascii="Palatino Linotype" w:hAnsi="Palatino Linotype"/>
        </w:rPr>
        <w:t xml:space="preserve">ser </w:t>
      </w:r>
      <w:r w:rsidR="00AA63CE">
        <w:rPr>
          <w:rFonts w:ascii="Palatino Linotype" w:hAnsi="Palatino Linotype"/>
        </w:rPr>
        <w:t xml:space="preserve">hacerlo del conocimiento del </w:t>
      </w:r>
      <w:r w:rsidR="00AA63CE">
        <w:rPr>
          <w:rFonts w:ascii="Palatino Linotype" w:hAnsi="Palatino Linotype"/>
          <w:b/>
        </w:rPr>
        <w:t xml:space="preserve">Recurrente </w:t>
      </w:r>
      <w:r w:rsidR="00AA63CE">
        <w:rPr>
          <w:rFonts w:ascii="Palatino Linotype" w:hAnsi="Palatino Linotype"/>
        </w:rPr>
        <w:t>al momento de dar cumplimiento a la resoluci</w:t>
      </w:r>
      <w:r w:rsidR="009D35DB">
        <w:rPr>
          <w:rFonts w:ascii="Palatino Linotype" w:hAnsi="Palatino Linotype"/>
        </w:rPr>
        <w:t xml:space="preserve">ón, es en ese sentido </w:t>
      </w:r>
      <w:r w:rsidR="009D35DB" w:rsidRPr="00CC5301">
        <w:rPr>
          <w:rFonts w:ascii="Palatino Linotype" w:hAnsi="Palatino Linotype"/>
        </w:rPr>
        <w:t>como he de emitir el presente voto particular</w:t>
      </w:r>
      <w:r w:rsidR="009D35DB">
        <w:rPr>
          <w:rFonts w:ascii="Palatino Linotype" w:hAnsi="Palatino Linotype"/>
        </w:rPr>
        <w:t>.</w:t>
      </w:r>
    </w:p>
    <w:p w:rsidR="00153609" w:rsidRDefault="00153609" w:rsidP="00AC0505">
      <w:pPr>
        <w:spacing w:after="0" w:line="360" w:lineRule="auto"/>
        <w:jc w:val="both"/>
        <w:rPr>
          <w:rFonts w:ascii="Palatino Linotype" w:hAnsi="Palatino Linotype"/>
          <w:b/>
          <w:lang w:val="es-ES_tradnl"/>
        </w:rPr>
      </w:pPr>
    </w:p>
    <w:p w:rsidR="009D35DB" w:rsidRDefault="009D35DB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265DEA" w:rsidRDefault="00265DEA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265DEA" w:rsidRDefault="00265DEA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Comisionada</w:t>
      </w:r>
      <w:r w:rsidR="00001252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A96753" w:rsidRDefault="004D30C3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265DEA" w:rsidRDefault="00265DEA" w:rsidP="00265DEA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9712F5" w:rsidRDefault="009712F5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9D35DB" w:rsidRDefault="009D35DB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9D35DB" w:rsidRDefault="009D35DB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9D35DB" w:rsidRDefault="009D35DB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9D35DB" w:rsidRDefault="009D35DB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9D35DB" w:rsidRDefault="009D35DB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9712F5" w:rsidRDefault="009712F5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AA63CE" w:rsidRPr="00AA63CE" w:rsidRDefault="00A77DB5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</w:t>
      </w:r>
      <w:r w:rsidR="00001252">
        <w:rPr>
          <w:rFonts w:ascii="Palatino Linotype" w:hAnsi="Palatino Linotype"/>
          <w:sz w:val="20"/>
          <w:szCs w:val="20"/>
        </w:rPr>
        <w:t>sta hoja corresponde al voto particular emitido</w:t>
      </w:r>
      <w:r w:rsidR="00F13B9C">
        <w:rPr>
          <w:rFonts w:ascii="Palatino Linotype" w:hAnsi="Palatino Linotype"/>
          <w:sz w:val="20"/>
          <w:szCs w:val="20"/>
        </w:rPr>
        <w:t xml:space="preserve"> en el recurso de revisión</w:t>
      </w:r>
      <w:r w:rsidR="00AA63CE">
        <w:rPr>
          <w:rFonts w:ascii="Palatino Linotype" w:hAnsi="Palatino Linotype"/>
          <w:sz w:val="20"/>
          <w:szCs w:val="20"/>
        </w:rPr>
        <w:t xml:space="preserve"> </w:t>
      </w:r>
      <w:r w:rsidR="00AA63CE">
        <w:rPr>
          <w:rFonts w:ascii="Palatino Linotype" w:hAnsi="Palatino Linotype"/>
          <w:b/>
          <w:sz w:val="20"/>
          <w:szCs w:val="20"/>
        </w:rPr>
        <w:t xml:space="preserve">03707/INFOEM/IP/RR/2018 </w:t>
      </w:r>
      <w:r w:rsidR="00AA63CE">
        <w:rPr>
          <w:rFonts w:ascii="Palatino Linotype" w:hAnsi="Palatino Linotype"/>
          <w:sz w:val="20"/>
          <w:szCs w:val="20"/>
        </w:rPr>
        <w:t xml:space="preserve">en fecha seis de diciembre de dos mil dieciocho. </w:t>
      </w:r>
    </w:p>
    <w:p w:rsidR="00AA63CE" w:rsidRDefault="00AA63CE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AC0505" w:rsidRPr="009712F5" w:rsidRDefault="00265DEA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9712F5">
        <w:rPr>
          <w:rFonts w:ascii="Palatino Linotype" w:hAnsi="Palatino Linotype"/>
          <w:b/>
          <w:sz w:val="20"/>
          <w:szCs w:val="20"/>
        </w:rPr>
        <w:t>OSAM/JCMA</w:t>
      </w:r>
      <w:r w:rsidR="00001252" w:rsidRPr="009712F5">
        <w:rPr>
          <w:rFonts w:ascii="Palatino Linotype" w:hAnsi="Palatino Linotype"/>
          <w:b/>
          <w:sz w:val="20"/>
          <w:szCs w:val="20"/>
        </w:rPr>
        <w:t xml:space="preserve"> </w:t>
      </w:r>
    </w:p>
    <w:sectPr w:rsidR="00AC0505" w:rsidRPr="009712F5" w:rsidSect="00115CE3">
      <w:headerReference w:type="even" r:id="rId9"/>
      <w:headerReference w:type="default" r:id="rId10"/>
      <w:footerReference w:type="default" r:id="rId11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AD" w:rsidRDefault="00D76BAD" w:rsidP="00AC0505">
      <w:pPr>
        <w:spacing w:after="0" w:line="240" w:lineRule="auto"/>
      </w:pPr>
      <w:r>
        <w:separator/>
      </w:r>
    </w:p>
  </w:endnote>
  <w:endnote w:type="continuationSeparator" w:id="0">
    <w:p w:rsidR="00D76BAD" w:rsidRDefault="00D76BAD" w:rsidP="00AC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6C50A8" w:rsidRDefault="00052AAA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084A19">
      <w:rPr>
        <w:rFonts w:ascii="Palatino Linotype" w:hAnsi="Palatino Linotype" w:cs="Arial"/>
        <w:b/>
        <w:bCs/>
        <w:noProof/>
        <w:sz w:val="22"/>
        <w:szCs w:val="22"/>
      </w:rPr>
      <w:t>1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6C50A8">
      <w:rPr>
        <w:rFonts w:ascii="Palatino Linotype" w:hAnsi="Palatino Linotype" w:cs="Arial"/>
        <w:sz w:val="22"/>
        <w:szCs w:val="22"/>
      </w:rPr>
      <w:t xml:space="preserve"> de 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084A19">
      <w:rPr>
        <w:rFonts w:ascii="Palatino Linotype" w:hAnsi="Palatino Linotype" w:cs="Arial"/>
        <w:b/>
        <w:bCs/>
        <w:noProof/>
        <w:sz w:val="22"/>
        <w:szCs w:val="22"/>
      </w:rPr>
      <w:t>7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084A19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AD" w:rsidRDefault="00D76BAD" w:rsidP="00AC0505">
      <w:pPr>
        <w:spacing w:after="0" w:line="240" w:lineRule="auto"/>
      </w:pPr>
      <w:r>
        <w:separator/>
      </w:r>
    </w:p>
  </w:footnote>
  <w:footnote w:type="continuationSeparator" w:id="0">
    <w:p w:rsidR="00D76BAD" w:rsidRDefault="00D76BAD" w:rsidP="00AC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052AA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04456A2" wp14:editId="78BC43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052AAA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456A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34.95pt;height:94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052AAA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9874C24" wp14:editId="0680E7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2AAA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74C24" id="Cuadro de texto 2" o:spid="_x0000_s1027" type="#_x0000_t202" style="position:absolute;margin-left:0;margin-top:0;width:457.5pt;height:60.7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2AAA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BA" w:rsidRDefault="00084A19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6704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052AA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A4F648B" wp14:editId="72D0E7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052AAA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F64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0;margin-top:0;width:534.95pt;height:94.4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YPkg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052AAA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52AAA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53489D78" wp14:editId="23CDF7E9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084A19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D758BE" w:rsidRDefault="00084A19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9122C0" w:rsidRDefault="00052AAA" w:rsidP="007263BB">
    <w:pPr>
      <w:pStyle w:val="Encabezado"/>
      <w:jc w:val="right"/>
      <w:rPr>
        <w:rFonts w:ascii="Palatino Linotype" w:hAnsi="Palatino Linotype" w:cs="Arial"/>
        <w:b/>
        <w:sz w:val="19"/>
        <w:szCs w:val="19"/>
      </w:rPr>
    </w:pPr>
    <w:r w:rsidRPr="009122C0">
      <w:rPr>
        <w:rFonts w:ascii="Palatino Linotype" w:hAnsi="Palatino Linotype" w:cs="Arial"/>
        <w:b/>
        <w:sz w:val="19"/>
        <w:szCs w:val="19"/>
      </w:rPr>
      <w:t xml:space="preserve">VOTO PARTICULAR </w:t>
    </w:r>
  </w:p>
  <w:p w:rsidR="00EE5FB0" w:rsidRPr="009122C0" w:rsidRDefault="00052AAA" w:rsidP="00EE5FB0">
    <w:pPr>
      <w:pStyle w:val="Encabezado"/>
      <w:jc w:val="right"/>
      <w:rPr>
        <w:rFonts w:ascii="Palatino Linotype" w:hAnsi="Palatino Linotype" w:cs="Arial"/>
        <w:b/>
        <w:sz w:val="19"/>
        <w:szCs w:val="19"/>
      </w:rPr>
    </w:pPr>
    <w:r w:rsidRPr="009122C0">
      <w:rPr>
        <w:rFonts w:ascii="Palatino Linotype" w:hAnsi="Palatino Linotype" w:cs="Arial"/>
        <w:b/>
        <w:sz w:val="19"/>
        <w:szCs w:val="19"/>
      </w:rPr>
      <w:t>RECURSO DE REVISIÓN 0</w:t>
    </w:r>
    <w:r w:rsidR="00124A33">
      <w:rPr>
        <w:rFonts w:ascii="Palatino Linotype" w:hAnsi="Palatino Linotype" w:cs="Arial"/>
        <w:b/>
        <w:sz w:val="19"/>
        <w:szCs w:val="19"/>
      </w:rPr>
      <w:t>3707</w:t>
    </w:r>
    <w:r w:rsidRPr="009122C0">
      <w:rPr>
        <w:rFonts w:ascii="Palatino Linotype" w:hAnsi="Palatino Linotype" w:cs="Arial"/>
        <w:b/>
        <w:sz w:val="19"/>
        <w:szCs w:val="19"/>
      </w:rPr>
      <w:t>/INFOEM/IP/RR/201</w:t>
    </w:r>
    <w:r w:rsidR="00A56FBB">
      <w:rPr>
        <w:rFonts w:ascii="Palatino Linotype" w:hAnsi="Palatino Linotype" w:cs="Arial"/>
        <w:b/>
        <w:sz w:val="19"/>
        <w:szCs w:val="19"/>
      </w:rPr>
      <w:t>8</w:t>
    </w:r>
    <w:r w:rsidR="00B85385" w:rsidRPr="009122C0">
      <w:rPr>
        <w:rFonts w:ascii="Palatino Linotype" w:hAnsi="Palatino Linotype" w:cs="Arial"/>
        <w:b/>
        <w:sz w:val="19"/>
        <w:szCs w:val="19"/>
      </w:rPr>
      <w:t xml:space="preserve"> </w:t>
    </w:r>
  </w:p>
  <w:p w:rsidR="00D758BE" w:rsidRPr="009122C0" w:rsidRDefault="00084A19" w:rsidP="007263BB">
    <w:pPr>
      <w:pStyle w:val="Encabezado"/>
      <w:jc w:val="right"/>
      <w:rPr>
        <w:rFonts w:ascii="Palatino Linotype" w:hAnsi="Palatino Linotype" w:cs="Arial"/>
        <w:sz w:val="19"/>
        <w:szCs w:val="19"/>
      </w:rPr>
    </w:pPr>
  </w:p>
  <w:p w:rsidR="00233AB2" w:rsidRDefault="00084A19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A57"/>
    <w:multiLevelType w:val="hybridMultilevel"/>
    <w:tmpl w:val="082A8766"/>
    <w:lvl w:ilvl="0" w:tplc="8A6E1FC4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4053261"/>
    <w:multiLevelType w:val="hybridMultilevel"/>
    <w:tmpl w:val="89A63D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3A61"/>
    <w:multiLevelType w:val="hybridMultilevel"/>
    <w:tmpl w:val="A7003A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045E"/>
    <w:multiLevelType w:val="hybridMultilevel"/>
    <w:tmpl w:val="C6B6B2EA"/>
    <w:lvl w:ilvl="0" w:tplc="BF3AA9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997D30"/>
    <w:multiLevelType w:val="hybridMultilevel"/>
    <w:tmpl w:val="9670CD74"/>
    <w:lvl w:ilvl="0" w:tplc="86B65F6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F6265"/>
    <w:multiLevelType w:val="hybridMultilevel"/>
    <w:tmpl w:val="E6421B66"/>
    <w:lvl w:ilvl="0" w:tplc="1A0C892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7730811"/>
    <w:multiLevelType w:val="hybridMultilevel"/>
    <w:tmpl w:val="649E9E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069A"/>
    <w:multiLevelType w:val="hybridMultilevel"/>
    <w:tmpl w:val="7736BE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64BE"/>
    <w:multiLevelType w:val="hybridMultilevel"/>
    <w:tmpl w:val="125820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34D96"/>
    <w:multiLevelType w:val="hybridMultilevel"/>
    <w:tmpl w:val="5B9600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6D59"/>
    <w:multiLevelType w:val="hybridMultilevel"/>
    <w:tmpl w:val="7FC08A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0229F"/>
    <w:multiLevelType w:val="multilevel"/>
    <w:tmpl w:val="64FA3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lang w:val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F52B3F"/>
    <w:multiLevelType w:val="hybridMultilevel"/>
    <w:tmpl w:val="4BF8EFBC"/>
    <w:lvl w:ilvl="0" w:tplc="0354E69A">
      <w:start w:val="205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05"/>
    <w:rsid w:val="00001252"/>
    <w:rsid w:val="00052AAA"/>
    <w:rsid w:val="0005701A"/>
    <w:rsid w:val="00074E4D"/>
    <w:rsid w:val="00084A19"/>
    <w:rsid w:val="0009400C"/>
    <w:rsid w:val="000B6A84"/>
    <w:rsid w:val="000C5F93"/>
    <w:rsid w:val="00122F5E"/>
    <w:rsid w:val="00124A33"/>
    <w:rsid w:val="001530B1"/>
    <w:rsid w:val="00153609"/>
    <w:rsid w:val="001907CA"/>
    <w:rsid w:val="001934A8"/>
    <w:rsid w:val="001C51EC"/>
    <w:rsid w:val="001F59FD"/>
    <w:rsid w:val="0024254B"/>
    <w:rsid w:val="00245929"/>
    <w:rsid w:val="002562E3"/>
    <w:rsid w:val="00263AF4"/>
    <w:rsid w:val="00265DEA"/>
    <w:rsid w:val="002A5ADD"/>
    <w:rsid w:val="00334DEA"/>
    <w:rsid w:val="00374A7C"/>
    <w:rsid w:val="00385699"/>
    <w:rsid w:val="0038638F"/>
    <w:rsid w:val="003A327A"/>
    <w:rsid w:val="003B4510"/>
    <w:rsid w:val="00452958"/>
    <w:rsid w:val="0046060B"/>
    <w:rsid w:val="004C4149"/>
    <w:rsid w:val="004D30C3"/>
    <w:rsid w:val="004E2907"/>
    <w:rsid w:val="00506CDE"/>
    <w:rsid w:val="0056688A"/>
    <w:rsid w:val="00581D43"/>
    <w:rsid w:val="00597ACE"/>
    <w:rsid w:val="00614BBE"/>
    <w:rsid w:val="00620AE6"/>
    <w:rsid w:val="00637ED3"/>
    <w:rsid w:val="00671104"/>
    <w:rsid w:val="0069147F"/>
    <w:rsid w:val="006A17A6"/>
    <w:rsid w:val="00754875"/>
    <w:rsid w:val="00786579"/>
    <w:rsid w:val="009122C0"/>
    <w:rsid w:val="009712F5"/>
    <w:rsid w:val="00981C96"/>
    <w:rsid w:val="009C4B88"/>
    <w:rsid w:val="009D35DB"/>
    <w:rsid w:val="00A0044D"/>
    <w:rsid w:val="00A145B1"/>
    <w:rsid w:val="00A37D01"/>
    <w:rsid w:val="00A56B6F"/>
    <w:rsid w:val="00A56FBB"/>
    <w:rsid w:val="00A6641D"/>
    <w:rsid w:val="00A77DB5"/>
    <w:rsid w:val="00A87336"/>
    <w:rsid w:val="00A87F2F"/>
    <w:rsid w:val="00A96753"/>
    <w:rsid w:val="00AA27AA"/>
    <w:rsid w:val="00AA63CE"/>
    <w:rsid w:val="00AC0505"/>
    <w:rsid w:val="00AC56D7"/>
    <w:rsid w:val="00AC6F28"/>
    <w:rsid w:val="00AD54F7"/>
    <w:rsid w:val="00AE7B0A"/>
    <w:rsid w:val="00AF4853"/>
    <w:rsid w:val="00B02FAE"/>
    <w:rsid w:val="00B13428"/>
    <w:rsid w:val="00B30BE2"/>
    <w:rsid w:val="00B7710E"/>
    <w:rsid w:val="00B7718D"/>
    <w:rsid w:val="00B825CF"/>
    <w:rsid w:val="00B85385"/>
    <w:rsid w:val="00BB4DDD"/>
    <w:rsid w:val="00C00A80"/>
    <w:rsid w:val="00C47A1C"/>
    <w:rsid w:val="00CA6429"/>
    <w:rsid w:val="00CC5301"/>
    <w:rsid w:val="00CD106E"/>
    <w:rsid w:val="00CE6377"/>
    <w:rsid w:val="00D159B0"/>
    <w:rsid w:val="00D5179C"/>
    <w:rsid w:val="00D76BAD"/>
    <w:rsid w:val="00DB4459"/>
    <w:rsid w:val="00DD0673"/>
    <w:rsid w:val="00E10CC9"/>
    <w:rsid w:val="00E3725C"/>
    <w:rsid w:val="00E7438C"/>
    <w:rsid w:val="00EB4018"/>
    <w:rsid w:val="00F13B9C"/>
    <w:rsid w:val="00F265B3"/>
    <w:rsid w:val="00F349C7"/>
    <w:rsid w:val="00FA30C9"/>
    <w:rsid w:val="00FD2FB0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E491B9-7104-4815-8E15-883584D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5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C05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05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05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AC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AC0505"/>
    <w:pPr>
      <w:spacing w:line="256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AC0505"/>
  </w:style>
  <w:style w:type="paragraph" w:styleId="Textodeglobo">
    <w:name w:val="Balloon Text"/>
    <w:basedOn w:val="Normal"/>
    <w:link w:val="TextodegloboCar"/>
    <w:uiPriority w:val="99"/>
    <w:semiHidden/>
    <w:unhideWhenUsed/>
    <w:rsid w:val="004C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1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29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2018-12-11T23:04:00Z</cp:lastPrinted>
  <dcterms:created xsi:type="dcterms:W3CDTF">2019-01-24T20:47:00Z</dcterms:created>
  <dcterms:modified xsi:type="dcterms:W3CDTF">2019-01-24T20:47:00Z</dcterms:modified>
</cp:coreProperties>
</file>